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Kwiatkowski nowym Client Service Director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agencja rozwija działania na linii klient-agencja. Do zespołu dołączył Michał Kwiatkowski, który objął stanowisko Client Service Director. Będzie on także pełnił funkcję Brand Strategy and Communication Expert, wspierając dział strategiczny.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Kwiatkowski od ponad 20 lat uczestniczył przy realizacji kilkuset projektów brandingowych, strategicznych i kampanii reklamowych o zasięgu krajowym oraz międzynarodowym. Posiada unikalne i kompleksowe doświadczenie łączące różne obszary marketingu: strategię, badania, komunikację marek, a także branding (kreacja marek, projektowanie opakowań).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między innymi dla:</w:t>
      </w:r>
      <w:r>
        <w:rPr>
          <w:rFonts w:ascii="calibri" w:hAnsi="calibri" w:eastAsia="calibri" w:cs="calibri"/>
          <w:sz w:val="24"/>
          <w:szCs w:val="24"/>
        </w:rPr>
        <w:t xml:space="preserve"> Totalizatora Sportowego, Nowej Ery, Grupy Onet, drogerii Rossmann, Grupy Hortex, mBanku, Banku Pocztowego, sieci Mediaexpert, sklepów Stokrotka, sklepów Żabka, Kamisa, Herbapolu, USP Zdrowie, Merck-Schering, UCB Pharma, Kompanii Piwowarskiej, Orlenu, sosów Łowicz, soków Fortuna.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odpowiedzialny za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strategii marki dla bieżących i nowych klientów agencji; będzie również pełnił funkcję doradczą z zakresu komunikacji.</w:t>
      </w:r>
      <w:r>
        <w:rPr>
          <w:rFonts w:ascii="calibri" w:hAnsi="calibri" w:eastAsia="calibri" w:cs="calibri"/>
          <w:sz w:val="24"/>
          <w:szCs w:val="24"/>
        </w:rPr>
        <w:t xml:space="preserve"> W ramach działu Client Service zadba o rozwijanie długotrwałych, partnerskich relacji z klientami, koordynował prace przetargowe, negocjacyjne, a także będzie wspierał działania New Business. Michał Kwiatkowski zadba także o doskonalenie jakości obsługi i satysfakcji klientów, a także nadzór nad realizowanymi projektami, we współpracy z wszystkimi działami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2026-05-13T04:56:07+02:00</dcterms:created>
  <dcterms:modified xsi:type="dcterms:W3CDTF">2026-05-13T04:56:07+02:00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