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polscy konsumenci sceptycznie odnoszą się do nowych logotypów marek?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40% badanych zwraca uwagę na logotypy produktów, które kupuje. Jednak, kiedy marki zmieniają swoją identyfikację wizualną zauważa to zaledwie 15,8% respondentów. Dla łącznie ponad 60% badanych zmiana logo nie jest pozytywnym doświadczeniem. O to, jaki jest stosunek Polaków do identyfikacji graficznej ich ulubionych marek oraz zmian zachodzących w tym obszarze, zapytała agencja badawcza SW Research, na zlecenie firmy Soul &amp; Mind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logotyp ma znaczenie?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pracujących w branży marketingowej, projektantów graficznych i handlowców logotyp jest niezwykle ważnym aspektem marki. Nadaje jej tożsamość i pozwala się wyróżnić na tle innych brandów. Czy tak samo patrzą na to konsumenci? Czy dla kupujących identyfikacja graficzna marek ma znaczenie, a jeśli tak to jakie? Na zlecenie agencji Soul &amp; Mind instytut badawczy SW Research przeprowadził badanie, w którym zapytał reprezentatywną grupę Polaków o ich stosunek do logotypów i ich zmian. Wynika z niego, że 43,8% badanych tylko czasami zwraca uwagę na logotypy marek, które kupują, 40,2% zdecydowanie dostrzega logo znajdujące się na opakowaniach produktów, zaś zaledwie 15,9% w ogóle nie przywiązuje wagi do tego aspektu.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Logotyp jest wizualnym podpisem marki, integralnie związanym z jej tożsamością. To niewielki, ale sprawczy element, który odgrywa kluczową rolę w jej rozpoznawalności i komunikacji. W morzu konkurencji unikalne logo pomaga marce się wyróżnić spośród innych z tej samej branży. Projekt logotypu powinien być zgodny z wartościami marki i rezonować z grupą docelową. To wizualna ikona, która pomaga konsumentom nawiązać więź z marką i z czasem zwiększa lojalność wobec niej </w:t>
      </w:r>
      <w:r>
        <w:rPr>
          <w:rFonts w:ascii="calibri" w:hAnsi="calibri" w:eastAsia="calibri" w:cs="calibri"/>
          <w:sz w:val="24"/>
          <w:szCs w:val="24"/>
        </w:rPr>
        <w:t xml:space="preserve">– mówi Aleksandra Janowska – Wojtulewicz, Creative Director w Soul &amp; Mind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wizerunek marki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Marki obecne na rynku od lat, a często nawet od dekad, decydują się niekiedy na zmianę logotypów. Zazwyczaj powodem decyzji o zmianie systemu identyfikacji jest implementacja założeń nowej strategii. Dla firm to ważna decyzja, nad którą pracują wiele miesięcy, a okazuje się, że aż 53,2% badanych tylko czasami dostrzega różnicę, tylko 15,8% zauważa ją zawsze, a 14,7% nigdy.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Większość konsumentów przyzwyczaja się do swoich ulubionych marek, bowiem stanowią one dla nich rodzaj przewodnika gwarantującego prosty i trafiony wybór produktów przy podejmowaniu decyzji zakupowych. Zmiana wizualnej tożsamości marki może oznaczać wywrócenie ich bezpiecznego świata do góry nogami. Niezwykle istotne jest więc, aby każda taka modyfikacja była uzasadniona i wynikała z rzeczywistych okoliczności biznesowych, a nie z kaprysu marketerów czy chwilowej mody </w:t>
      </w:r>
      <w:r>
        <w:rPr>
          <w:rFonts w:ascii="calibri" w:hAnsi="calibri" w:eastAsia="calibri" w:cs="calibri"/>
          <w:sz w:val="24"/>
          <w:szCs w:val="24"/>
        </w:rPr>
        <w:t xml:space="preserve">– komentuje wyniki badania Anita Zaremska -Trzaska, Senior Strategic Planner w Soul &amp; Mind.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każda zmiana jest dobra?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Niejednoznaczny jest stosunek badanych do zmian zachodzących w identyfikacji graficznej produktów, po które sięgają lub które rozpoznają. Prawie 1/3 respondentów (31,7%) nie lubi takich zmian bo przyzwyczaiła się do dawnego logotypu, ale prawie tyle samo badanych (27,7%), uważa te zmiany za coś pozytywnego oraz dowód na to, że marka się rozwija i staje bardziej nowoczesna. Prawie 1/5 respondentów (19,9%) ma obawy czy kiedy widzi produkt ze zmienionym logo ma dalej do czynienia ze znaną sobie marką czy z jej imitacją. 16,8% badanych twierdzi, że po zmianach jeszcze bardziej lubi tę markę, a 12,5% lubi markę mniej.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Musimy pamiętać, że dla wielu ludzi, marka to nie tylko produkt, ale również pewien rodzaj zbioru wartości, z którymi się utożsamiają. Stąd też niezwykle istotny element projektu zmiany identyfikacji wizualnej stanowi komunikacja. Klienci oraz potencjalne grupy docelowe powinni zostać skutecznie poinformowani o zmianie, muszą zrozumieć, dlaczego została podjęta, jakie elementy ulegają zmianie oraz jakie korzyści niesie ona dla nich samych - </w:t>
      </w:r>
      <w:r>
        <w:rPr>
          <w:rFonts w:ascii="calibri" w:hAnsi="calibri" w:eastAsia="calibri" w:cs="calibri"/>
          <w:sz w:val="24"/>
          <w:szCs w:val="24"/>
        </w:rPr>
        <w:t xml:space="preserve">podsumowuje Anita Zaremska-Trzaska.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</w:t>
      </w:r>
      <w:r>
        <w:rPr>
          <w:rFonts w:ascii="calibri" w:hAnsi="calibri" w:eastAsia="calibri" w:cs="calibri"/>
          <w:sz w:val="24"/>
          <w:szCs w:val="24"/>
        </w:rPr>
        <w:t xml:space="preserve"> Badanie zostało przeprowadzone przez agencję badawczą SW Research metodą wywiadów on-line (CAWI) na reprezentatywnej ogólnopolskiej grupie 1000 osób, w dniach 20-23 listopada 2023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2026-08-24T17:05:43+02:00</dcterms:created>
  <dcterms:modified xsi:type="dcterms:W3CDTF">2026-08-24T17:05:43+02:00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